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14D" w:rsidRPr="00EB1793" w:rsidRDefault="00E4614D" w:rsidP="00E46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44"/>
          <w:szCs w:val="44"/>
        </w:rPr>
      </w:pPr>
      <w:r w:rsidRPr="00EB1793">
        <w:rPr>
          <w:b/>
          <w:sz w:val="44"/>
          <w:szCs w:val="44"/>
        </w:rPr>
        <w:t>Opis przedmiotu zamówienia</w:t>
      </w:r>
    </w:p>
    <w:p w:rsidR="00E4614D" w:rsidRDefault="00E4614D" w:rsidP="00E4614D">
      <w:pPr>
        <w:pStyle w:val="Nagwek1"/>
        <w:spacing w:before="120" w:after="120"/>
        <w:jc w:val="both"/>
        <w:rPr>
          <w:rFonts w:ascii="Arial" w:hAnsi="Arial" w:cs="Arial"/>
          <w:snapToGrid w:val="0"/>
          <w:color w:val="auto"/>
          <w:sz w:val="20"/>
        </w:rPr>
      </w:pPr>
    </w:p>
    <w:p w:rsidR="008A5065" w:rsidRPr="00AA5E28" w:rsidRDefault="008A5065" w:rsidP="008A5065">
      <w:pPr>
        <w:jc w:val="both"/>
        <w:rPr>
          <w:rFonts w:ascii="Arial" w:hAnsi="Arial" w:cs="Arial"/>
        </w:rPr>
      </w:pPr>
      <w:r w:rsidRPr="00AA5E28">
        <w:rPr>
          <w:rFonts w:ascii="Arial" w:hAnsi="Arial" w:cs="Arial"/>
        </w:rPr>
        <w:t xml:space="preserve">Pakiet II: przedmiotem zamówienia jest dostawa komputerów przenośnych wraz z osprzętem, zgodnie z warunkami i zasadami określonymi w SIWZ, w tym zgodnie z niniejszym formularzem oraz wzorem umowy. </w:t>
      </w:r>
    </w:p>
    <w:p w:rsidR="008A5065" w:rsidRPr="00AA5E28" w:rsidRDefault="008A5065" w:rsidP="008A5065">
      <w:pPr>
        <w:jc w:val="both"/>
        <w:rPr>
          <w:rFonts w:ascii="Arial" w:hAnsi="Arial" w:cs="Arial"/>
        </w:rPr>
      </w:pPr>
    </w:p>
    <w:p w:rsidR="00E4614D" w:rsidRPr="00AA5E28" w:rsidRDefault="008A5065" w:rsidP="008A5065">
      <w:pPr>
        <w:jc w:val="both"/>
        <w:rPr>
          <w:rFonts w:ascii="Arial" w:hAnsi="Arial" w:cs="Arial"/>
        </w:rPr>
      </w:pPr>
      <w:r w:rsidRPr="00AA5E28">
        <w:rPr>
          <w:rFonts w:ascii="Arial" w:hAnsi="Arial" w:cs="Arial"/>
        </w:rPr>
        <w:t>Pakiet II obejmuje dostawę</w:t>
      </w:r>
      <w:r w:rsidRPr="00AA5E28">
        <w:t xml:space="preserve"> </w:t>
      </w:r>
      <w:r w:rsidRPr="00AA5E28">
        <w:rPr>
          <w:rFonts w:ascii="Arial" w:hAnsi="Arial" w:cs="Arial"/>
        </w:rPr>
        <w:t>komputerów przenośnych wraz z osprzętem wskazanych poniżej:</w:t>
      </w:r>
    </w:p>
    <w:p w:rsidR="00685E41" w:rsidRDefault="00685E41" w:rsidP="00A42E6E">
      <w:pPr>
        <w:jc w:val="both"/>
        <w:rPr>
          <w:rFonts w:cs="Arial"/>
        </w:rPr>
      </w:pPr>
    </w:p>
    <w:p w:rsidR="00A42E6E" w:rsidRPr="00EB4409" w:rsidRDefault="00A42E6E" w:rsidP="00A42E6E">
      <w:pPr>
        <w:rPr>
          <w:rFonts w:ascii="Arial" w:hAnsi="Arial" w:cs="Arial"/>
          <w:b/>
        </w:rPr>
      </w:pPr>
    </w:p>
    <w:p w:rsidR="00A42E6E" w:rsidRPr="00E06088" w:rsidRDefault="008A5065" w:rsidP="001839EB">
      <w:pPr>
        <w:pStyle w:val="Nagwek3"/>
        <w:widowControl/>
        <w:autoSpaceDE/>
        <w:autoSpaceDN/>
        <w:adjustRightInd/>
        <w:spacing w:before="40" w:line="259" w:lineRule="auto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1</w:t>
      </w:r>
      <w:r w:rsidR="001839EB">
        <w:rPr>
          <w:rFonts w:ascii="Arial" w:hAnsi="Arial" w:cs="Arial"/>
          <w:color w:val="auto"/>
          <w:sz w:val="24"/>
          <w:szCs w:val="24"/>
        </w:rPr>
        <w:t xml:space="preserve">. </w:t>
      </w:r>
      <w:r w:rsidR="00A42E6E" w:rsidRPr="00E06088">
        <w:rPr>
          <w:rFonts w:ascii="Arial" w:hAnsi="Arial" w:cs="Arial"/>
          <w:color w:val="auto"/>
          <w:sz w:val="24"/>
          <w:szCs w:val="24"/>
        </w:rPr>
        <w:t xml:space="preserve">Komputer przenośny Typ 2 – 10 szt. </w:t>
      </w:r>
    </w:p>
    <w:p w:rsidR="00A42E6E" w:rsidRPr="00EB4409" w:rsidRDefault="00A42E6E" w:rsidP="00A42E6E">
      <w:pPr>
        <w:rPr>
          <w:rFonts w:ascii="Arial" w:hAnsi="Arial" w:cs="Arial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000" w:firstRow="0" w:lastRow="0" w:firstColumn="0" w:lastColumn="0" w:noHBand="0" w:noVBand="0"/>
      </w:tblPr>
      <w:tblGrid>
        <w:gridCol w:w="696"/>
        <w:gridCol w:w="1843"/>
        <w:gridCol w:w="10"/>
        <w:gridCol w:w="7085"/>
      </w:tblGrid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EB4409">
              <w:rPr>
                <w:rFonts w:ascii="Arial" w:hAnsi="Arial" w:cs="Arial"/>
                <w:b/>
                <w:sz w:val="20"/>
              </w:rPr>
              <w:t>Poz.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EB4409">
              <w:rPr>
                <w:rFonts w:ascii="Arial" w:hAnsi="Arial" w:cs="Arial"/>
                <w:b/>
                <w:sz w:val="20"/>
              </w:rPr>
              <w:t>Nazwa parametru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ind w:right="-57"/>
              <w:jc w:val="center"/>
              <w:rPr>
                <w:rFonts w:ascii="Arial" w:hAnsi="Arial" w:cs="Arial"/>
                <w:b/>
                <w:sz w:val="20"/>
              </w:rPr>
            </w:pPr>
            <w:r w:rsidRPr="00EB4409">
              <w:rPr>
                <w:rFonts w:ascii="Arial" w:hAnsi="Arial" w:cs="Arial"/>
                <w:b/>
                <w:sz w:val="20"/>
              </w:rPr>
              <w:t>Opis parametru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Typ komputera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Komputer przenośny, Typ 2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2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Wydajność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EB4409">
              <w:rPr>
                <w:rFonts w:ascii="Arial" w:hAnsi="Arial" w:cs="Arial"/>
                <w:bCs/>
              </w:rPr>
              <w:t>Wydajność mierzona testem „</w:t>
            </w:r>
            <w:proofErr w:type="spellStart"/>
            <w:r w:rsidRPr="00EB4409">
              <w:rPr>
                <w:rFonts w:ascii="Arial" w:hAnsi="Arial" w:cs="Arial"/>
                <w:bCs/>
              </w:rPr>
              <w:t>PCMark</w:t>
            </w:r>
            <w:proofErr w:type="spellEnd"/>
            <w:r w:rsidRPr="00EB4409">
              <w:rPr>
                <w:rFonts w:ascii="Arial" w:hAnsi="Arial" w:cs="Arial"/>
                <w:bCs/>
              </w:rPr>
              <w:t xml:space="preserve"> 10 benchmark” przy rozdzielczości obrazu 1920x1080 pikseli z paletą kolorów minimum 32 bit wynosi: nie mniej </w:t>
            </w:r>
            <w:r w:rsidRPr="00EB4409">
              <w:rPr>
                <w:rFonts w:ascii="Arial" w:hAnsi="Arial" w:cs="Arial"/>
                <w:b/>
                <w:bCs/>
              </w:rPr>
              <w:t>niż 3900 punktów.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Dysk twardy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w technologii SDD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o pojemności nie mniejszej niż 500 GB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wykorzystujący interfejs SATA lub M.2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Pamięć operacyjna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Akapitzlist"/>
              <w:numPr>
                <w:ilvl w:val="0"/>
                <w:numId w:val="1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minimum  16GB  pamięci RAM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1"/>
              </w:numPr>
              <w:spacing w:after="0"/>
              <w:ind w:left="714" w:hanging="357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pozostawiony jeden wolny slot SODIMM umożliwiający zainstalowanie dodatkowego modułu pamięci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Ekran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Standardowywlewo"/>
              <w:numPr>
                <w:ilvl w:val="0"/>
                <w:numId w:val="1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wyświetlacz LCD z podświetleniem LED o przekątnej od 14” do 14,1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1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o rozdzielczości znamionowej minimum 1920x1080 pikseli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1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 powłoką antyrefleksyjną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Karta grafiki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Karta graficzna umożliwiająca osiągnięcie maksymalnej rozdzielczości znamionowej wyświetlanej przez ekran komputera przenośnego, a także monitora przeznaczonego do komputera przenośnego (</w:t>
            </w:r>
            <w:r w:rsidRPr="00EB4409">
              <w:rPr>
                <w:rFonts w:ascii="Arial" w:hAnsi="Arial" w:cs="Arial"/>
                <w:i/>
                <w:sz w:val="20"/>
              </w:rPr>
              <w:t>pkt 5. Monitor komputerowy Typ 2</w:t>
            </w:r>
            <w:r w:rsidRPr="00EB4409">
              <w:rPr>
                <w:rFonts w:ascii="Arial" w:hAnsi="Arial" w:cs="Arial"/>
                <w:sz w:val="20"/>
              </w:rPr>
              <w:t>)</w:t>
            </w:r>
          </w:p>
        </w:tc>
      </w:tr>
      <w:tr w:rsidR="00A42E6E" w:rsidRPr="00EB4409" w:rsidTr="00DF740D">
        <w:trPr>
          <w:cantSplit/>
          <w:trHeight w:val="70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Dźwięk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Standardowywlewo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karta dźwiękowa stereo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wbudowane dwa głośniki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 xml:space="preserve">wyjście audio tzw. mini </w:t>
            </w:r>
            <w:proofErr w:type="spellStart"/>
            <w:r w:rsidRPr="00EB4409">
              <w:rPr>
                <w:rFonts w:ascii="Arial" w:hAnsi="Arial" w:cs="Arial"/>
                <w:sz w:val="20"/>
              </w:rPr>
              <w:t>jack</w:t>
            </w:r>
            <w:proofErr w:type="spellEnd"/>
            <w:r w:rsidRPr="00EB4409">
              <w:rPr>
                <w:rFonts w:ascii="Arial" w:hAnsi="Arial" w:cs="Arial"/>
                <w:sz w:val="20"/>
              </w:rPr>
              <w:t xml:space="preserve"> średnica 3,5mm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Napęd DVD</w:t>
            </w:r>
          </w:p>
        </w:tc>
        <w:tc>
          <w:tcPr>
            <w:tcW w:w="7085" w:type="dxa"/>
            <w:tcBorders>
              <w:bottom w:val="single" w:sz="4" w:space="0" w:color="auto"/>
            </w:tcBorders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 xml:space="preserve">Napęd wewnętrzny lub zewnętrzny DVD z możliwością zapisu 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lastRenderedPageBreak/>
              <w:t>9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Komunikacja</w:t>
            </w:r>
          </w:p>
        </w:tc>
        <w:tc>
          <w:tcPr>
            <w:tcW w:w="7085" w:type="dxa"/>
            <w:tcBorders>
              <w:bottom w:val="single" w:sz="4" w:space="0" w:color="auto"/>
            </w:tcBorders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Komputer przenośny winien posiadać: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3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 xml:space="preserve">zintegrowaną kartę sieciową Ethernet RJ-45 100/1000 </w:t>
            </w:r>
            <w:proofErr w:type="spellStart"/>
            <w:r w:rsidRPr="00EB4409">
              <w:rPr>
                <w:rFonts w:ascii="Arial" w:hAnsi="Arial" w:cs="Arial"/>
                <w:sz w:val="20"/>
              </w:rPr>
              <w:t>BaseT</w:t>
            </w:r>
            <w:proofErr w:type="spellEnd"/>
            <w:r w:rsidRPr="00EB4409">
              <w:rPr>
                <w:rFonts w:ascii="Arial" w:hAnsi="Arial" w:cs="Arial"/>
                <w:sz w:val="20"/>
              </w:rPr>
              <w:t xml:space="preserve"> – 1 szt.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3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zintegrowaną kartę sieci bezprzewodowej Wireless LAN 802.11 b/g/n/</w:t>
            </w:r>
            <w:proofErr w:type="spellStart"/>
            <w:r w:rsidRPr="00EB4409">
              <w:rPr>
                <w:rFonts w:ascii="Arial" w:hAnsi="Arial" w:cs="Arial"/>
                <w:sz w:val="20"/>
              </w:rPr>
              <w:t>ac</w:t>
            </w:r>
            <w:proofErr w:type="spellEnd"/>
            <w:r w:rsidRPr="00EB4409">
              <w:rPr>
                <w:rFonts w:ascii="Arial" w:hAnsi="Arial" w:cs="Arial"/>
                <w:sz w:val="20"/>
              </w:rPr>
              <w:t xml:space="preserve"> dwuzakresowa 2,4GHz i 5GHz – 1 szt.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3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zintegrowany adapter Bluetooth – 1 szt.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10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Porty zewnętrzne</w:t>
            </w:r>
          </w:p>
        </w:tc>
        <w:tc>
          <w:tcPr>
            <w:tcW w:w="7085" w:type="dxa"/>
            <w:tcBorders>
              <w:top w:val="single" w:sz="4" w:space="0" w:color="auto"/>
            </w:tcBorders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Wymagania dotyczące portów: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eastAsia="Arial Unicode MS" w:hAnsi="Arial" w:cs="Arial"/>
                <w:sz w:val="20"/>
                <w:szCs w:val="20"/>
              </w:rPr>
              <w:t>minimum 3 szt. portów USB, w tym minimum 2 szt. port USB 3.0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eastAsia="Arial Unicode MS" w:hAnsi="Arial" w:cs="Arial"/>
                <w:sz w:val="20"/>
                <w:szCs w:val="20"/>
              </w:rPr>
              <w:t xml:space="preserve">minimum 1 szt. zintegrowane złącze do stacji dokującej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eastAsia="Arial Unicode MS" w:hAnsi="Arial" w:cs="Arial"/>
                <w:sz w:val="20"/>
                <w:szCs w:val="20"/>
              </w:rPr>
              <w:t>minimum 1 szt. port monitora zewnętrznego (cyfrowy lub analogowy)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11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Oprogramowanie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preinstalowany fabrycznie system operacyjny MS Windows klasy Professional w wersji językowej PL niewymagający aktywacji za pomocą telefonu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12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Dodatkowe wymagania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Akapitzlist"/>
              <w:numPr>
                <w:ilvl w:val="0"/>
                <w:numId w:val="20"/>
              </w:numPr>
              <w:spacing w:after="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BIOS komputera z możliwością: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skonfigurowania hasła „Power On” oraz ustawienia hasła dostępu do BIOS-u (administratora) w sposób gwarantujący utrzymanie zapisanego hasła nawet w przypadku odłączenia wszystkich źródeł zasilania i podtrzymania BIOS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blokady/wyłączenia portów USB, COM, karty sieciowej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kontroli sekwencji BOOT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startu systemu z urządzenia USB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blokowania uruchamiania stacji roboczej z zewnętrznych urządzeń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obsługi trybu PXE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narzędzia standardów WMI muszą odczytać wartość Serial </w:t>
            </w:r>
            <w:proofErr w:type="spellStart"/>
            <w:r w:rsidRPr="00EB4409">
              <w:rPr>
                <w:rFonts w:ascii="Arial" w:hAnsi="Arial" w:cs="Arial"/>
                <w:sz w:val="20"/>
                <w:szCs w:val="20"/>
              </w:rPr>
              <w:t>Number</w:t>
            </w:r>
            <w:proofErr w:type="spellEnd"/>
            <w:r w:rsidRPr="00EB4409">
              <w:rPr>
                <w:rFonts w:ascii="Arial" w:hAnsi="Arial" w:cs="Arial"/>
                <w:sz w:val="20"/>
                <w:szCs w:val="20"/>
              </w:rPr>
              <w:t xml:space="preserve"> w klasie win32_bios zgodną z numerem seryjnym na obudowie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360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Płyta główna oraz karta sieciowa obsługująca rozwiązanie „Wake on LAN”.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360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 xml:space="preserve">Układ szyfrujący na płycie głównej pozwalający m.in. na przechowywanie w nim kluczy szyfrujących, układ zgodny ze specyfikacją TPM v 2.x 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Urządzenie wskazujące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Komputer przenośny musi posiadać wbudowane urządzenie wskazujące z przynajmniej dwoma przyciskami oraz klawiaturę z układem klawiszy typu QWERTY US-International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Zasilanie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Akapitzlist"/>
              <w:numPr>
                <w:ilvl w:val="0"/>
                <w:numId w:val="6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Do komputera przenośnego musi być dołączony zewnętrzny zasilacz sieciowy umożliwiający pracę i ładowanie baterii komputera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6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Czas pracy komputera przenośnego na podtrzymaniu zasilania                  z dostarczonej baterii musi wynosić minimum 4 godziny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843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Certyfikaty, deklaracje                 i standardy</w:t>
            </w:r>
          </w:p>
        </w:tc>
        <w:tc>
          <w:tcPr>
            <w:tcW w:w="7095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Komputer przenośny winien posiadać: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deklaracje zgodności CE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zgodności ze standardem EPEAT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16</w:t>
            </w:r>
          </w:p>
        </w:tc>
        <w:tc>
          <w:tcPr>
            <w:tcW w:w="1843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Obudowa i waga</w:t>
            </w:r>
          </w:p>
        </w:tc>
        <w:tc>
          <w:tcPr>
            <w:tcW w:w="7095" w:type="dxa"/>
            <w:gridSpan w:val="2"/>
            <w:vAlign w:val="center"/>
          </w:tcPr>
          <w:p w:rsidR="00A42E6E" w:rsidRPr="00EB4409" w:rsidRDefault="00A42E6E" w:rsidP="00A42E6E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Na obudowie komputera musi być możliwość zapięcia linki zabezpieczającej.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Waga komputera przenośnego z baterią nie może być większa niż 2,0 kg. 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Stacja dokująca</w:t>
            </w:r>
          </w:p>
        </w:tc>
        <w:tc>
          <w:tcPr>
            <w:tcW w:w="7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Wymagania dotyczące stacji dokującej: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Stacja dokująca musi komunikować się z komputerem za pomocą dedykowanego portu umożliwiającego pracę, ładowanie baterii komputera i replikację posiadanych przez komputer portów.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Stacja dokująca musi być wyposażona w porty: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minimum 3 szt. portów USB 3.0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port sieci Ethernet RJ-45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wyjście audio tzw. mini </w:t>
            </w:r>
            <w:proofErr w:type="spellStart"/>
            <w:r w:rsidRPr="00EB4409"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  <w:r w:rsidRPr="00EB4409">
              <w:rPr>
                <w:rFonts w:ascii="Arial" w:hAnsi="Arial" w:cs="Arial"/>
                <w:sz w:val="20"/>
                <w:szCs w:val="20"/>
              </w:rPr>
              <w:t xml:space="preserve"> średnica 3,5 mm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minimum dwa porty cyfrowe video, do jednoczesnej obsługi w trybie rozszerzonego pulpitu dwóch monitorów z rozdzielczością 1920x1080 każdy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minimum jeden port analogowy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Stacja musi być wyposażona w dodatkowy zasilacz zewnętrzny, umożliwiający pracę (i ładowanie baterii) komputera podłączonego do stacji (bez potrzeby podłączania zasilacza bezpośrednio do komputera).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843" w:type="dxa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Wyposażenie dodatkowe</w:t>
            </w:r>
          </w:p>
        </w:tc>
        <w:tc>
          <w:tcPr>
            <w:tcW w:w="7095" w:type="dxa"/>
            <w:gridSpan w:val="2"/>
            <w:vAlign w:val="center"/>
          </w:tcPr>
          <w:p w:rsidR="00A42E6E" w:rsidRPr="00EB4409" w:rsidRDefault="00A42E6E" w:rsidP="00DF740D">
            <w:pPr>
              <w:ind w:left="433"/>
              <w:rPr>
                <w:rFonts w:ascii="Arial" w:hAnsi="Arial" w:cs="Arial"/>
              </w:rPr>
            </w:pPr>
            <w:r w:rsidRPr="00780C38">
              <w:rPr>
                <w:rFonts w:ascii="Arial" w:hAnsi="Arial" w:cs="Arial"/>
              </w:rPr>
              <w:t xml:space="preserve">- Plecak kompatybilny z zaoferowanym </w:t>
            </w:r>
            <w:r>
              <w:rPr>
                <w:rFonts w:ascii="Arial" w:hAnsi="Arial" w:cs="Arial"/>
              </w:rPr>
              <w:t>komputerem przenośnym typ. 2 (poz. 2)</w:t>
            </w:r>
            <w:r w:rsidRPr="00780C38">
              <w:rPr>
                <w:rFonts w:ascii="Arial" w:hAnsi="Arial" w:cs="Arial"/>
              </w:rPr>
              <w:t xml:space="preserve">, w kolorze czarnym lub innym stonowanym, posiadający dwie oddzielne komory na </w:t>
            </w:r>
            <w:r>
              <w:rPr>
                <w:rFonts w:ascii="Arial" w:hAnsi="Arial" w:cs="Arial"/>
              </w:rPr>
              <w:t>l</w:t>
            </w:r>
            <w:r w:rsidRPr="00780C38">
              <w:rPr>
                <w:rFonts w:ascii="Arial" w:hAnsi="Arial" w:cs="Arial"/>
              </w:rPr>
              <w:t>aptopa i tablet, wyposażony min w dwie boczne kieszenie jedna górną. Zapinany na zamek błyskawiczny, posiadający regulowane wzmacniane szelki. Waga nie większa niż 1 kg.  Wymiary zewnętrzne nie większe niż 345x170x480.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18"/>
              </w:numPr>
              <w:spacing w:line="276" w:lineRule="auto"/>
              <w:ind w:left="688" w:hanging="283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 xml:space="preserve">mysz optyczna z rolką, przewodowa USB 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18"/>
              </w:numPr>
              <w:spacing w:line="276" w:lineRule="auto"/>
              <w:ind w:left="688" w:hanging="283"/>
              <w:jc w:val="left"/>
              <w:rPr>
                <w:rFonts w:ascii="Arial" w:hAnsi="Arial" w:cs="Arial"/>
                <w:sz w:val="20"/>
                <w:lang w:val="en-US"/>
              </w:rPr>
            </w:pPr>
            <w:r w:rsidRPr="00EB4409">
              <w:rPr>
                <w:rFonts w:ascii="Arial" w:hAnsi="Arial" w:cs="Arial"/>
                <w:sz w:val="20"/>
              </w:rPr>
              <w:t xml:space="preserve">klawiatura QWERTY US-International, przewodowa USB </w:t>
            </w:r>
          </w:p>
        </w:tc>
      </w:tr>
    </w:tbl>
    <w:p w:rsidR="00A42E6E" w:rsidRDefault="00A42E6E" w:rsidP="00A42E6E">
      <w:pPr>
        <w:rPr>
          <w:rFonts w:ascii="Arial" w:hAnsi="Arial" w:cs="Arial"/>
        </w:rPr>
      </w:pPr>
    </w:p>
    <w:p w:rsidR="00A42E6E" w:rsidRDefault="00A42E6E" w:rsidP="00A42E6E">
      <w:pPr>
        <w:rPr>
          <w:rFonts w:ascii="Arial" w:hAnsi="Arial" w:cs="Arial"/>
        </w:rPr>
      </w:pPr>
    </w:p>
    <w:p w:rsidR="00A42E6E" w:rsidRPr="00E13EF7" w:rsidRDefault="008A5065" w:rsidP="001839EB">
      <w:pPr>
        <w:widowControl/>
        <w:autoSpaceDE/>
        <w:autoSpaceDN/>
        <w:adjustRightInd/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1839EB">
        <w:rPr>
          <w:rFonts w:ascii="Arial" w:eastAsia="Calibri" w:hAnsi="Arial" w:cs="Arial"/>
          <w:b/>
          <w:sz w:val="24"/>
          <w:szCs w:val="24"/>
        </w:rPr>
        <w:t xml:space="preserve">. </w:t>
      </w:r>
      <w:r w:rsidR="00A42E6E" w:rsidRPr="00E13EF7">
        <w:rPr>
          <w:rFonts w:ascii="Arial" w:eastAsia="Calibri" w:hAnsi="Arial" w:cs="Arial"/>
          <w:b/>
          <w:sz w:val="24"/>
          <w:szCs w:val="24"/>
        </w:rPr>
        <w:t>Monitor Typ 2 – 10 szt.</w:t>
      </w:r>
    </w:p>
    <w:tbl>
      <w:tblPr>
        <w:tblW w:w="9640" w:type="dxa"/>
        <w:tblInd w:w="-289" w:type="dxa"/>
        <w:tblCellMar>
          <w:top w:w="142" w:type="dxa"/>
          <w:left w:w="142" w:type="dxa"/>
          <w:bottom w:w="142" w:type="dxa"/>
          <w:right w:w="142" w:type="dxa"/>
        </w:tblCellMar>
        <w:tblLook w:val="0000" w:firstRow="0" w:lastRow="0" w:firstColumn="0" w:lastColumn="0" w:noHBand="0" w:noVBand="0"/>
      </w:tblPr>
      <w:tblGrid>
        <w:gridCol w:w="696"/>
        <w:gridCol w:w="1879"/>
        <w:gridCol w:w="7065"/>
      </w:tblGrid>
      <w:tr w:rsidR="00A42E6E" w:rsidRPr="00EB4409" w:rsidTr="00DF740D">
        <w:trPr>
          <w:trHeight w:val="45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t>Poz.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t>Nazwa parametru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t>Opis parametru</w:t>
            </w:r>
          </w:p>
        </w:tc>
      </w:tr>
      <w:tr w:rsidR="00A42E6E" w:rsidRPr="00EB4409" w:rsidTr="00DF740D">
        <w:trPr>
          <w:trHeight w:val="60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Przeznaczenie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Monitor komputerowy przeznaczony do współpr</w:t>
            </w:r>
            <w:r>
              <w:rPr>
                <w:rFonts w:ascii="Arial" w:hAnsi="Arial" w:cs="Arial"/>
              </w:rPr>
              <w:t>acy ze stacją dokującą z poz</w:t>
            </w:r>
            <w:r w:rsidRPr="00AA5E28">
              <w:rPr>
                <w:rFonts w:ascii="Arial" w:hAnsi="Arial" w:cs="Arial"/>
              </w:rPr>
              <w:t xml:space="preserve">. 17 w pkt 1 </w:t>
            </w:r>
          </w:p>
        </w:tc>
      </w:tr>
      <w:tr w:rsidR="00A42E6E" w:rsidRPr="00EB4409" w:rsidTr="00DF740D">
        <w:trPr>
          <w:trHeight w:val="186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Parametry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monitor LCD o przekątnie minimum 31</w:t>
            </w:r>
            <w:r w:rsidRPr="00EB4409">
              <w:rPr>
                <w:rFonts w:ascii="Arial" w:eastAsia="Calibri" w:hAnsi="Arial" w:cs="Arial"/>
              </w:rPr>
              <w:t xml:space="preserve">,5”, </w:t>
            </w:r>
            <w:r>
              <w:rPr>
                <w:rFonts w:ascii="Arial" w:eastAsia="Calibri" w:hAnsi="Arial" w:cs="Arial"/>
              </w:rPr>
              <w:t>jednocześnie nie większej niż 32</w:t>
            </w:r>
            <w:r w:rsidRPr="00EB4409">
              <w:rPr>
                <w:rFonts w:ascii="Arial" w:eastAsia="Calibri" w:hAnsi="Arial" w:cs="Arial"/>
              </w:rPr>
              <w:t>”;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format obrazu: panoramiczny;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 xml:space="preserve">rozdzielczość </w:t>
            </w:r>
            <w:r>
              <w:rPr>
                <w:rFonts w:ascii="Arial" w:eastAsia="Calibri" w:hAnsi="Arial" w:cs="Arial"/>
              </w:rPr>
              <w:t>znamionowa co najmniej 2560x1440 pikseli</w:t>
            </w:r>
            <w:r w:rsidRPr="00EB4409">
              <w:rPr>
                <w:rFonts w:ascii="Arial" w:eastAsia="Calibri" w:hAnsi="Arial" w:cs="Arial"/>
              </w:rPr>
              <w:t>;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 xml:space="preserve">co najmniej jeden port DVI lub </w:t>
            </w:r>
            <w:proofErr w:type="spellStart"/>
            <w:r w:rsidRPr="00EB4409">
              <w:rPr>
                <w:rFonts w:ascii="Arial" w:eastAsia="Calibri" w:hAnsi="Arial" w:cs="Arial"/>
              </w:rPr>
              <w:t>DisplayPort</w:t>
            </w:r>
            <w:proofErr w:type="spellEnd"/>
            <w:r w:rsidRPr="00EB4409">
              <w:rPr>
                <w:rFonts w:ascii="Arial" w:eastAsia="Calibri" w:hAnsi="Arial" w:cs="Arial"/>
              </w:rPr>
              <w:t xml:space="preserve"> lub HDMI;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 xml:space="preserve">wbudowany hub USB z kablem łączącym o dł. minimum 1,5m i co najmniej 2 szt. portów USB 2.0 lub 3.0; 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 xml:space="preserve">przewód sygnału cyfrowego umożliwiający komunikację ze stacją dokującą do </w:t>
            </w:r>
            <w:r w:rsidRPr="00AA5E28">
              <w:rPr>
                <w:rFonts w:ascii="Arial" w:eastAsia="Calibri" w:hAnsi="Arial" w:cs="Arial"/>
              </w:rPr>
              <w:t>komputera (</w:t>
            </w:r>
            <w:r w:rsidRPr="00AA5E28">
              <w:rPr>
                <w:rFonts w:ascii="Arial" w:eastAsia="Calibri" w:hAnsi="Arial" w:cs="Arial"/>
                <w:i/>
              </w:rPr>
              <w:t>pkt 2 i pkt 3. poz. 17</w:t>
            </w:r>
            <w:r w:rsidRPr="00AA5E28">
              <w:rPr>
                <w:rFonts w:ascii="Arial" w:eastAsia="Calibri" w:hAnsi="Arial" w:cs="Arial"/>
              </w:rPr>
              <w:t xml:space="preserve">) o </w:t>
            </w:r>
            <w:r w:rsidRPr="00EB4409">
              <w:rPr>
                <w:rFonts w:ascii="Arial" w:eastAsia="Calibri" w:hAnsi="Arial" w:cs="Arial"/>
              </w:rPr>
              <w:t xml:space="preserve">dł. minimum 1,8 m; 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przewód zasilający z wtyczką pasującą do gniazda elektrycznego typu E i F („hybrydowa”, „</w:t>
            </w:r>
            <w:proofErr w:type="spellStart"/>
            <w:r w:rsidRPr="00EB4409">
              <w:rPr>
                <w:rFonts w:ascii="Arial" w:eastAsia="Calibri" w:hAnsi="Arial" w:cs="Arial"/>
              </w:rPr>
              <w:t>unischuko</w:t>
            </w:r>
            <w:proofErr w:type="spellEnd"/>
            <w:r w:rsidRPr="00EB4409">
              <w:rPr>
                <w:rFonts w:ascii="Arial" w:eastAsia="Calibri" w:hAnsi="Arial" w:cs="Arial"/>
              </w:rPr>
              <w:t xml:space="preserve">”); 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lastRenderedPageBreak/>
              <w:t>regulacja wysokości mo</w:t>
            </w:r>
            <w:r>
              <w:rPr>
                <w:rFonts w:ascii="Arial" w:eastAsia="Calibri" w:hAnsi="Arial" w:cs="Arial"/>
              </w:rPr>
              <w:t>nitora w zakresie co najmniej 13</w:t>
            </w:r>
            <w:r w:rsidRPr="00EB4409">
              <w:rPr>
                <w:rFonts w:ascii="Arial" w:eastAsia="Calibri" w:hAnsi="Arial" w:cs="Arial"/>
              </w:rPr>
              <w:t xml:space="preserve"> cm; </w:t>
            </w:r>
          </w:p>
          <w:p w:rsidR="00A42E6E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możliwość pochylania panelu wyświetlacza.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Wbudowane głośniki stereo</w:t>
            </w:r>
          </w:p>
          <w:p w:rsidR="00A42E6E" w:rsidRPr="00EB4409" w:rsidRDefault="00A42E6E" w:rsidP="00DF740D">
            <w:pPr>
              <w:ind w:left="720"/>
              <w:contextualSpacing/>
              <w:rPr>
                <w:rFonts w:ascii="Arial" w:eastAsia="Calibri" w:hAnsi="Arial" w:cs="Arial"/>
              </w:rPr>
            </w:pPr>
          </w:p>
        </w:tc>
      </w:tr>
      <w:tr w:rsidR="00A42E6E" w:rsidRPr="00EB4409" w:rsidTr="00DF740D">
        <w:trPr>
          <w:trHeight w:val="42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Deklaracje</w:t>
            </w:r>
          </w:p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 xml:space="preserve"> i standardy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  <w:bCs/>
              </w:rPr>
              <w:t xml:space="preserve">deklaracja zgodności CE dla monitora 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  <w:bCs/>
              </w:rPr>
              <w:t xml:space="preserve">zgodność ze </w:t>
            </w:r>
            <w:r w:rsidRPr="00EB4409">
              <w:rPr>
                <w:rFonts w:ascii="Arial" w:eastAsia="Calibri" w:hAnsi="Arial" w:cs="Arial"/>
              </w:rPr>
              <w:t xml:space="preserve">standardem EPEAT </w:t>
            </w:r>
          </w:p>
        </w:tc>
      </w:tr>
    </w:tbl>
    <w:p w:rsidR="00A42E6E" w:rsidRPr="00EB4409" w:rsidRDefault="00A42E6E" w:rsidP="00A42E6E">
      <w:pPr>
        <w:rPr>
          <w:rFonts w:ascii="Arial" w:hAnsi="Arial" w:cs="Arial"/>
          <w:b/>
        </w:rPr>
      </w:pPr>
    </w:p>
    <w:p w:rsidR="00A42E6E" w:rsidRPr="00190869" w:rsidRDefault="008A5065" w:rsidP="001839EB">
      <w:pPr>
        <w:pStyle w:val="Nagwek3"/>
        <w:widowControl/>
        <w:autoSpaceDE/>
        <w:autoSpaceDN/>
        <w:adjustRightInd/>
        <w:spacing w:before="40" w:line="259" w:lineRule="auto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3</w:t>
      </w:r>
      <w:r w:rsidR="001839EB">
        <w:rPr>
          <w:rFonts w:ascii="Arial" w:hAnsi="Arial" w:cs="Arial"/>
          <w:color w:val="auto"/>
          <w:sz w:val="24"/>
          <w:szCs w:val="24"/>
        </w:rPr>
        <w:t xml:space="preserve">. </w:t>
      </w:r>
      <w:r w:rsidR="00A42E6E" w:rsidRPr="00190869">
        <w:rPr>
          <w:rFonts w:ascii="Arial" w:hAnsi="Arial" w:cs="Arial"/>
          <w:color w:val="auto"/>
          <w:sz w:val="24"/>
          <w:szCs w:val="24"/>
        </w:rPr>
        <w:t xml:space="preserve">Komputer przenośny Typ 1 – 60 szt. </w:t>
      </w:r>
    </w:p>
    <w:p w:rsidR="00A42E6E" w:rsidRPr="00EB4409" w:rsidRDefault="00A42E6E" w:rsidP="00A42E6E">
      <w:pPr>
        <w:rPr>
          <w:rFonts w:ascii="Arial" w:hAnsi="Arial" w:cs="Arial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000" w:firstRow="0" w:lastRow="0" w:firstColumn="0" w:lastColumn="0" w:noHBand="0" w:noVBand="0"/>
      </w:tblPr>
      <w:tblGrid>
        <w:gridCol w:w="696"/>
        <w:gridCol w:w="1843"/>
        <w:gridCol w:w="10"/>
        <w:gridCol w:w="7085"/>
      </w:tblGrid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EB4409">
              <w:rPr>
                <w:rFonts w:ascii="Arial" w:hAnsi="Arial" w:cs="Arial"/>
                <w:b/>
                <w:sz w:val="20"/>
              </w:rPr>
              <w:t>Poz.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EB4409">
              <w:rPr>
                <w:rFonts w:ascii="Arial" w:hAnsi="Arial" w:cs="Arial"/>
                <w:b/>
                <w:sz w:val="20"/>
              </w:rPr>
              <w:t>Nazwa parametru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ind w:right="-57"/>
              <w:jc w:val="center"/>
              <w:rPr>
                <w:rFonts w:ascii="Arial" w:hAnsi="Arial" w:cs="Arial"/>
                <w:b/>
                <w:sz w:val="20"/>
              </w:rPr>
            </w:pPr>
            <w:r w:rsidRPr="00EB4409">
              <w:rPr>
                <w:rFonts w:ascii="Arial" w:hAnsi="Arial" w:cs="Arial"/>
                <w:b/>
                <w:sz w:val="20"/>
              </w:rPr>
              <w:t>Opis parametru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Typ komputera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Komputer przenośny Typ 1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2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Wydajność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EB4409">
              <w:rPr>
                <w:rFonts w:ascii="Arial" w:hAnsi="Arial" w:cs="Arial"/>
                <w:bCs/>
              </w:rPr>
              <w:t>Wydajność mierzona testem „</w:t>
            </w:r>
            <w:proofErr w:type="spellStart"/>
            <w:r w:rsidRPr="00EB4409">
              <w:rPr>
                <w:rFonts w:ascii="Arial" w:hAnsi="Arial" w:cs="Arial"/>
                <w:bCs/>
              </w:rPr>
              <w:t>PCMark</w:t>
            </w:r>
            <w:proofErr w:type="spellEnd"/>
            <w:r w:rsidRPr="00EB4409">
              <w:rPr>
                <w:rFonts w:ascii="Arial" w:hAnsi="Arial" w:cs="Arial"/>
                <w:bCs/>
              </w:rPr>
              <w:t xml:space="preserve"> 10 benchmark” przy rozdzielczości obrazu 1920x1080 pikseli z paletą kolorów minimum 32 bit wynosi: nie mniej </w:t>
            </w:r>
            <w:r w:rsidRPr="00EB4409">
              <w:rPr>
                <w:rFonts w:ascii="Arial" w:hAnsi="Arial" w:cs="Arial"/>
                <w:b/>
                <w:bCs/>
              </w:rPr>
              <w:t>niż 3600 punktów.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3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Dysk twardy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w technologii SDD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o pojemności nie mniejszej niż 250 GB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wykorzystujący interfejs SATA lub M.2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4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Pamięć operacyjna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Akapitzlist"/>
              <w:numPr>
                <w:ilvl w:val="0"/>
                <w:numId w:val="1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minimum  8GB  pamięci RAM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1"/>
              </w:numPr>
              <w:spacing w:after="0"/>
              <w:ind w:left="714" w:hanging="357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pozostawiony jeden wolny slot SODIMM umożliwiający zainstalowanie dodatkowego modułu pamięci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5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Ekran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Standardowywlewo"/>
              <w:numPr>
                <w:ilvl w:val="0"/>
                <w:numId w:val="1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wyświetlacz LCD z podświetleniem LED o przekątnej od 14” do 14,1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1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o rozdzielczości znamionowej minimum 1920x1080 pikseli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1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 powłoką antyrefleksyjną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6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Karta grafiki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Karta graficzna umożliwiająca osiągnięcie maksymalnej rozdzielczości znamionowej wyświetlanej przez ekran komputera przenośnego, a także monitora przeznaczonego do komputera przenośnego (</w:t>
            </w:r>
            <w:r w:rsidRPr="00EB4409">
              <w:rPr>
                <w:rFonts w:ascii="Arial" w:hAnsi="Arial" w:cs="Arial"/>
                <w:i/>
                <w:sz w:val="20"/>
              </w:rPr>
              <w:t>pkt 4. Monitor komputerowy typ 1j</w:t>
            </w:r>
            <w:r w:rsidRPr="00EB4409">
              <w:rPr>
                <w:rFonts w:ascii="Arial" w:hAnsi="Arial" w:cs="Arial"/>
                <w:sz w:val="20"/>
              </w:rPr>
              <w:t>)</w:t>
            </w:r>
          </w:p>
        </w:tc>
      </w:tr>
      <w:tr w:rsidR="00A42E6E" w:rsidRPr="00EB4409" w:rsidTr="00DF740D">
        <w:trPr>
          <w:cantSplit/>
          <w:trHeight w:val="70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7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Dźwięk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Standardowywlewo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karta dźwiękowa stereo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wbudowane dwa głośniki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 xml:space="preserve">wyjście audio tzw. mini </w:t>
            </w:r>
            <w:proofErr w:type="spellStart"/>
            <w:r w:rsidRPr="00EB4409">
              <w:rPr>
                <w:rFonts w:ascii="Arial" w:hAnsi="Arial" w:cs="Arial"/>
                <w:sz w:val="20"/>
              </w:rPr>
              <w:t>jack</w:t>
            </w:r>
            <w:proofErr w:type="spellEnd"/>
            <w:r w:rsidRPr="00EB4409">
              <w:rPr>
                <w:rFonts w:ascii="Arial" w:hAnsi="Arial" w:cs="Arial"/>
                <w:sz w:val="20"/>
              </w:rPr>
              <w:t xml:space="preserve"> średnica 3,5mm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8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Napęd DVD</w:t>
            </w:r>
          </w:p>
        </w:tc>
        <w:tc>
          <w:tcPr>
            <w:tcW w:w="7085" w:type="dxa"/>
            <w:tcBorders>
              <w:bottom w:val="single" w:sz="4" w:space="0" w:color="auto"/>
            </w:tcBorders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 xml:space="preserve">Napęd wewnętrzny lub zewnętrzny DVD z możliwością zapisu   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lastRenderedPageBreak/>
              <w:t>9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Komunikacja</w:t>
            </w:r>
          </w:p>
        </w:tc>
        <w:tc>
          <w:tcPr>
            <w:tcW w:w="7085" w:type="dxa"/>
            <w:tcBorders>
              <w:bottom w:val="single" w:sz="4" w:space="0" w:color="auto"/>
            </w:tcBorders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Komputer przenośny winien posiadać: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3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 xml:space="preserve">zintegrowaną kartę sieciową Ethernet RJ-45 100/1000 </w:t>
            </w:r>
            <w:proofErr w:type="spellStart"/>
            <w:r w:rsidRPr="00EB4409">
              <w:rPr>
                <w:rFonts w:ascii="Arial" w:hAnsi="Arial" w:cs="Arial"/>
                <w:sz w:val="20"/>
              </w:rPr>
              <w:t>BaseT</w:t>
            </w:r>
            <w:proofErr w:type="spellEnd"/>
            <w:r w:rsidRPr="00EB4409">
              <w:rPr>
                <w:rFonts w:ascii="Arial" w:hAnsi="Arial" w:cs="Arial"/>
                <w:sz w:val="20"/>
              </w:rPr>
              <w:t xml:space="preserve"> – 1 szt.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3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zintegrowaną kartę sieci bezprzewodowej Wireless LAN 802.11 b/g/n/</w:t>
            </w:r>
            <w:proofErr w:type="spellStart"/>
            <w:r w:rsidRPr="00EB4409">
              <w:rPr>
                <w:rFonts w:ascii="Arial" w:hAnsi="Arial" w:cs="Arial"/>
                <w:sz w:val="20"/>
              </w:rPr>
              <w:t>ac</w:t>
            </w:r>
            <w:proofErr w:type="spellEnd"/>
            <w:r w:rsidRPr="00EB4409">
              <w:rPr>
                <w:rFonts w:ascii="Arial" w:hAnsi="Arial" w:cs="Arial"/>
                <w:sz w:val="20"/>
              </w:rPr>
              <w:t xml:space="preserve"> dwuzakresowa 2,4GHz i 5GHz – 1 szt.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3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zintegrowany adapter Bluetooth – 1 szt.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10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Porty zewnętrzne</w:t>
            </w:r>
          </w:p>
        </w:tc>
        <w:tc>
          <w:tcPr>
            <w:tcW w:w="7085" w:type="dxa"/>
            <w:tcBorders>
              <w:top w:val="single" w:sz="4" w:space="0" w:color="auto"/>
            </w:tcBorders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Wymagania dotyczące portów: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eastAsia="Arial Unicode MS" w:hAnsi="Arial" w:cs="Arial"/>
                <w:sz w:val="20"/>
                <w:szCs w:val="20"/>
              </w:rPr>
              <w:t>minimum 3 szt. portów USB, w tym minimum 2 szt. port USB 3.0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eastAsia="Arial Unicode MS" w:hAnsi="Arial" w:cs="Arial"/>
                <w:sz w:val="20"/>
                <w:szCs w:val="20"/>
              </w:rPr>
              <w:t xml:space="preserve">minimum 1 szt. zintegrowane złącze do stacji dokującej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eastAsia="Arial Unicode MS" w:hAnsi="Arial" w:cs="Arial"/>
                <w:sz w:val="20"/>
                <w:szCs w:val="20"/>
              </w:rPr>
              <w:t>minimum 1 szt. port monitora zewnętrznego (cyfrowy lub analogowy)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11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Oprogramowanie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preinstalowany fabrycznie system operacyjny MS Windows klasy Professional w wersji językowej PL niewymagający aktywacji za pomocą telefonu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12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Dodatkowe wymagania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Akapitzlist"/>
              <w:numPr>
                <w:ilvl w:val="0"/>
                <w:numId w:val="20"/>
              </w:numPr>
              <w:spacing w:after="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BIOS komputera z możliwością: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skonfigurowania hasła „Power On” oraz ustawienia hasła dostępu do BIOS-u (administratora) w sposób gwarantujący utrzymanie zapisanego hasła nawet w przypadku odłączenia wszystkich źródeł zasilania i podtrzymania BIOS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blokady/wyłączenia portów USB, COM, karty sieciowej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kontroli sekwencji BOOT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startu systemu z urządzenia USB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blokowania uruchamiania stacji roboczej z zewnętrznych urządzeń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obsługi trybu PXE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narzędzia standardów WMI muszą odczytać wartość Serial </w:t>
            </w:r>
            <w:proofErr w:type="spellStart"/>
            <w:r w:rsidRPr="00EB4409">
              <w:rPr>
                <w:rFonts w:ascii="Arial" w:hAnsi="Arial" w:cs="Arial"/>
                <w:sz w:val="20"/>
                <w:szCs w:val="20"/>
              </w:rPr>
              <w:t>Number</w:t>
            </w:r>
            <w:proofErr w:type="spellEnd"/>
            <w:r w:rsidRPr="00EB4409">
              <w:rPr>
                <w:rFonts w:ascii="Arial" w:hAnsi="Arial" w:cs="Arial"/>
                <w:sz w:val="20"/>
                <w:szCs w:val="20"/>
              </w:rPr>
              <w:t xml:space="preserve"> w klasie win32_bios zgodną z numerem seryjnym na obudowie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360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Płyta główna oraz karta sieciowa obsługująca rozwiązanie „Wake on LAN”.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360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 xml:space="preserve">Układ szyfrujący na płycie głównej pozwalający m.in. na przechowywanie w nim kluczy szyfrujących, układ zgodny ze specyfikacją TPM v 2.x 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13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Urządzenie wskazujące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Komputer przenośny musi posiadać wbudowane urządzenie wskazujące z przynajmniej dwoma przyciskami oraz klawiaturę z układem klawiszy typu QWERTY US-International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14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Zasilanie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Akapitzlist"/>
              <w:numPr>
                <w:ilvl w:val="0"/>
                <w:numId w:val="6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Do komputera przenośnego musi być dołączony zewnętrzny zasilacz sieciowy umożliwiający pracę i ładowanie baterii komputera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6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Czas pracy komputera przenośnego na podtrzymaniu zasilania                  z dostarczonej baterii musi wynosić minimum 4 godziny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15</w:t>
            </w:r>
          </w:p>
        </w:tc>
        <w:tc>
          <w:tcPr>
            <w:tcW w:w="1843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Certyfikaty, deklaracje                 i standardy</w:t>
            </w:r>
          </w:p>
        </w:tc>
        <w:tc>
          <w:tcPr>
            <w:tcW w:w="7095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Komputer przenośny winien posiadać: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deklaracje zgodności CE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zgodności ze standardem EPEAT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lastRenderedPageBreak/>
              <w:t>16</w:t>
            </w:r>
          </w:p>
        </w:tc>
        <w:tc>
          <w:tcPr>
            <w:tcW w:w="1843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Obudowa i waga</w:t>
            </w:r>
          </w:p>
        </w:tc>
        <w:tc>
          <w:tcPr>
            <w:tcW w:w="7095" w:type="dxa"/>
            <w:gridSpan w:val="2"/>
            <w:vAlign w:val="center"/>
          </w:tcPr>
          <w:p w:rsidR="00A42E6E" w:rsidRPr="00EB4409" w:rsidRDefault="00A42E6E" w:rsidP="00A42E6E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Na obudowie komputera musi być możliwość zapięcia linki zabezpieczającej.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Waga komputera przenośnego z baterią nie może być większa niż 2 kg. 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Stacja dokująca</w:t>
            </w:r>
          </w:p>
        </w:tc>
        <w:tc>
          <w:tcPr>
            <w:tcW w:w="7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Wymagania dotyczące stacji dokującej: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Stacja dokująca musi komunikować się z komputerem za pomocą dedykowanego portu umożliwiającego pracę, ładowanie baterii komputera i replikację posiadanych przez komputer portów.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Stacja dokująca musi być wyposażona w porty: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minimum 3 szt. Portów USB 3.0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port sieci Ethernet RJ-45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wyjście audio tzw. mini </w:t>
            </w:r>
            <w:proofErr w:type="spellStart"/>
            <w:r w:rsidRPr="00EB4409"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  <w:r w:rsidRPr="00EB4409">
              <w:rPr>
                <w:rFonts w:ascii="Arial" w:hAnsi="Arial" w:cs="Arial"/>
                <w:sz w:val="20"/>
                <w:szCs w:val="20"/>
              </w:rPr>
              <w:t xml:space="preserve"> średnica 3,5 mm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minimum dwa porty cyfrowe video, do jednoczesnej obsługi w trybie rozszerzonego pulpitu dwóch monitorów z rozdzielczością 1920x1080 każdy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minimum jeden port analogowy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Stacja musi być wyposażona w dodatkowy zasilacz zewnętrzny, umożliwiający pracę (i ładowanie baterii) komputera podłączonego do stacji (bez potrzeby podłączania zasilacza bezpośrednio do komputera).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18</w:t>
            </w:r>
          </w:p>
        </w:tc>
        <w:tc>
          <w:tcPr>
            <w:tcW w:w="1843" w:type="dxa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Wyposażenie dodatkowe</w:t>
            </w:r>
          </w:p>
        </w:tc>
        <w:tc>
          <w:tcPr>
            <w:tcW w:w="7095" w:type="dxa"/>
            <w:gridSpan w:val="2"/>
            <w:vAlign w:val="center"/>
          </w:tcPr>
          <w:p w:rsidR="00A42E6E" w:rsidRPr="00EB4409" w:rsidRDefault="00A42E6E" w:rsidP="00A42E6E">
            <w:pPr>
              <w:pStyle w:val="Standardowywlewo"/>
              <w:numPr>
                <w:ilvl w:val="0"/>
                <w:numId w:val="18"/>
              </w:numPr>
              <w:spacing w:line="276" w:lineRule="auto"/>
              <w:ind w:left="688" w:hanging="283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torba na komputer przenośny wzmocniona, tekstylna, w kolorze czarnym lub innym stonowanym, zapewniająca miejsce na komputer, dokumenty, niezbędne akcesoria, okablowanie – co najmniej dwie odseparowane komory o pełnej szerokości i wysokości torby - 1 szt.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18"/>
              </w:numPr>
              <w:spacing w:line="276" w:lineRule="auto"/>
              <w:ind w:left="688" w:hanging="283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mysz optyczna z rolką, przewodowa USB – 1szt.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18"/>
              </w:numPr>
              <w:spacing w:line="276" w:lineRule="auto"/>
              <w:ind w:left="688" w:hanging="283"/>
              <w:jc w:val="left"/>
              <w:rPr>
                <w:rFonts w:ascii="Arial" w:hAnsi="Arial" w:cs="Arial"/>
                <w:sz w:val="20"/>
                <w:lang w:val="en-US"/>
              </w:rPr>
            </w:pPr>
            <w:r w:rsidRPr="00EB4409">
              <w:rPr>
                <w:rFonts w:ascii="Arial" w:hAnsi="Arial" w:cs="Arial"/>
                <w:sz w:val="20"/>
              </w:rPr>
              <w:t>klawiatura QWERTY US-International, przewodowa USB – 1szt.</w:t>
            </w:r>
          </w:p>
        </w:tc>
      </w:tr>
    </w:tbl>
    <w:p w:rsidR="00A42E6E" w:rsidRPr="00EB4409" w:rsidRDefault="00A42E6E" w:rsidP="00A42E6E">
      <w:pPr>
        <w:rPr>
          <w:rFonts w:ascii="Arial" w:hAnsi="Arial" w:cs="Arial"/>
        </w:rPr>
      </w:pPr>
    </w:p>
    <w:p w:rsidR="00A42E6E" w:rsidRPr="00EB4409" w:rsidRDefault="00A42E6E" w:rsidP="00A42E6E">
      <w:pPr>
        <w:rPr>
          <w:rFonts w:ascii="Arial" w:hAnsi="Arial" w:cs="Arial"/>
        </w:rPr>
      </w:pPr>
    </w:p>
    <w:p w:rsidR="00A42E6E" w:rsidRPr="00290A28" w:rsidRDefault="008A5065" w:rsidP="001839EB">
      <w:pPr>
        <w:widowControl/>
        <w:autoSpaceDE/>
        <w:autoSpaceDN/>
        <w:adjustRightInd/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4</w:t>
      </w:r>
      <w:r w:rsidR="001839EB">
        <w:rPr>
          <w:rFonts w:ascii="Arial" w:eastAsia="Calibri" w:hAnsi="Arial" w:cs="Arial"/>
          <w:b/>
          <w:sz w:val="24"/>
          <w:szCs w:val="24"/>
        </w:rPr>
        <w:t xml:space="preserve">. </w:t>
      </w:r>
      <w:r w:rsidR="00A42E6E" w:rsidRPr="00290A28">
        <w:rPr>
          <w:rFonts w:ascii="Arial" w:eastAsia="Calibri" w:hAnsi="Arial" w:cs="Arial"/>
          <w:b/>
          <w:sz w:val="24"/>
          <w:szCs w:val="24"/>
        </w:rPr>
        <w:t>Monitor Typ 1 – 60 szt.</w:t>
      </w:r>
    </w:p>
    <w:tbl>
      <w:tblPr>
        <w:tblW w:w="9640" w:type="dxa"/>
        <w:tblInd w:w="-289" w:type="dxa"/>
        <w:tblCellMar>
          <w:top w:w="142" w:type="dxa"/>
          <w:left w:w="142" w:type="dxa"/>
          <w:bottom w:w="142" w:type="dxa"/>
          <w:right w:w="142" w:type="dxa"/>
        </w:tblCellMar>
        <w:tblLook w:val="0000" w:firstRow="0" w:lastRow="0" w:firstColumn="0" w:lastColumn="0" w:noHBand="0" w:noVBand="0"/>
      </w:tblPr>
      <w:tblGrid>
        <w:gridCol w:w="696"/>
        <w:gridCol w:w="1879"/>
        <w:gridCol w:w="7065"/>
      </w:tblGrid>
      <w:tr w:rsidR="00A42E6E" w:rsidRPr="00EB4409" w:rsidTr="00DF740D">
        <w:trPr>
          <w:trHeight w:val="45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t>Poz.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t>Nazwa parametru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t>Opis parametru</w:t>
            </w:r>
          </w:p>
        </w:tc>
      </w:tr>
      <w:tr w:rsidR="00A42E6E" w:rsidRPr="00EB4409" w:rsidTr="00DF740D">
        <w:trPr>
          <w:trHeight w:val="60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Przeznaczenie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Monitor komputerowy przeznaczony do współpracy ze stacją dokującą z poz</w:t>
            </w:r>
            <w:r w:rsidRPr="00AA5E28">
              <w:rPr>
                <w:rFonts w:ascii="Arial" w:hAnsi="Arial" w:cs="Arial"/>
              </w:rPr>
              <w:t xml:space="preserve">. 17 w pkt 1. </w:t>
            </w:r>
          </w:p>
        </w:tc>
      </w:tr>
      <w:tr w:rsidR="00A42E6E" w:rsidRPr="00EB4409" w:rsidTr="00DF740D">
        <w:trPr>
          <w:trHeight w:val="186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Parametry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monitor LCD o przekątnej minimum 23,5”, jednocześnie nie większej niż 24”;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format obrazu: panoramiczny;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rozdzielczość znamionowa co najmniej 1920x1080;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 xml:space="preserve">co najmniej jeden port DVI lub </w:t>
            </w:r>
            <w:proofErr w:type="spellStart"/>
            <w:r w:rsidRPr="00EB4409">
              <w:rPr>
                <w:rFonts w:ascii="Arial" w:eastAsia="Calibri" w:hAnsi="Arial" w:cs="Arial"/>
              </w:rPr>
              <w:t>DisplayPort</w:t>
            </w:r>
            <w:proofErr w:type="spellEnd"/>
            <w:r w:rsidRPr="00EB4409">
              <w:rPr>
                <w:rFonts w:ascii="Arial" w:eastAsia="Calibri" w:hAnsi="Arial" w:cs="Arial"/>
              </w:rPr>
              <w:t xml:space="preserve"> lub HDMI;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 xml:space="preserve">wbudowany hub USB z kablem łączącym o dł. minimum 1,5m i co najmniej 2 szt. portów USB 2.0 lub 3.0; 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 xml:space="preserve">przewód sygnału cyfrowego umożliwiający komunikację ze stacją dokującą do komputera </w:t>
            </w:r>
            <w:r w:rsidRPr="00AA5E28">
              <w:rPr>
                <w:rFonts w:ascii="Arial" w:eastAsia="Calibri" w:hAnsi="Arial" w:cs="Arial"/>
              </w:rPr>
              <w:t>(</w:t>
            </w:r>
            <w:r w:rsidRPr="00AA5E28">
              <w:rPr>
                <w:rFonts w:ascii="Arial" w:eastAsia="Calibri" w:hAnsi="Arial" w:cs="Arial"/>
                <w:i/>
              </w:rPr>
              <w:t>pkt 1. poz. 17</w:t>
            </w:r>
            <w:r w:rsidRPr="00AA5E28">
              <w:rPr>
                <w:rFonts w:ascii="Arial" w:eastAsia="Calibri" w:hAnsi="Arial" w:cs="Arial"/>
              </w:rPr>
              <w:t>)</w:t>
            </w:r>
            <w:r w:rsidRPr="00EB4409">
              <w:rPr>
                <w:rFonts w:ascii="Arial" w:eastAsia="Calibri" w:hAnsi="Arial" w:cs="Arial"/>
              </w:rPr>
              <w:t xml:space="preserve"> o dł. minimum 1,8 m; 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przewód zasilający z wtyczką pasującą do gniazda elektrycznego typu E i F („hybrydowa”, „</w:t>
            </w:r>
            <w:proofErr w:type="spellStart"/>
            <w:r w:rsidRPr="00EB4409">
              <w:rPr>
                <w:rFonts w:ascii="Arial" w:eastAsia="Calibri" w:hAnsi="Arial" w:cs="Arial"/>
              </w:rPr>
              <w:t>unischuko</w:t>
            </w:r>
            <w:proofErr w:type="spellEnd"/>
            <w:r w:rsidRPr="00EB4409">
              <w:rPr>
                <w:rFonts w:ascii="Arial" w:eastAsia="Calibri" w:hAnsi="Arial" w:cs="Arial"/>
              </w:rPr>
              <w:t xml:space="preserve">”); 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lastRenderedPageBreak/>
              <w:t>regulacja wysokości mo</w:t>
            </w:r>
            <w:r>
              <w:rPr>
                <w:rFonts w:ascii="Arial" w:eastAsia="Calibri" w:hAnsi="Arial" w:cs="Arial"/>
              </w:rPr>
              <w:t>nitora w zakresie co najmniej 13</w:t>
            </w:r>
            <w:r w:rsidRPr="00EB4409">
              <w:rPr>
                <w:rFonts w:ascii="Arial" w:eastAsia="Calibri" w:hAnsi="Arial" w:cs="Arial"/>
              </w:rPr>
              <w:t xml:space="preserve"> cm; </w:t>
            </w:r>
          </w:p>
          <w:p w:rsidR="00A42E6E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możliwość pochylania panelu wyświetlacza.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Wbudowane głośniki stereo</w:t>
            </w:r>
          </w:p>
          <w:p w:rsidR="00A42E6E" w:rsidRPr="00EB4409" w:rsidRDefault="00A42E6E" w:rsidP="00DF740D">
            <w:pPr>
              <w:ind w:left="720"/>
              <w:contextualSpacing/>
              <w:rPr>
                <w:rFonts w:ascii="Arial" w:eastAsia="Calibri" w:hAnsi="Arial" w:cs="Arial"/>
              </w:rPr>
            </w:pPr>
          </w:p>
        </w:tc>
      </w:tr>
      <w:tr w:rsidR="00A42E6E" w:rsidRPr="00EB4409" w:rsidTr="00DF740D">
        <w:trPr>
          <w:trHeight w:val="42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Deklaracje</w:t>
            </w:r>
          </w:p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 xml:space="preserve"> i standardy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  <w:bCs/>
              </w:rPr>
              <w:t xml:space="preserve">deklaracja zgodności CE dla monitora 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  <w:bCs/>
              </w:rPr>
              <w:t xml:space="preserve">zgodność ze </w:t>
            </w:r>
            <w:r w:rsidRPr="00EB4409">
              <w:rPr>
                <w:rFonts w:ascii="Arial" w:eastAsia="Calibri" w:hAnsi="Arial" w:cs="Arial"/>
              </w:rPr>
              <w:t xml:space="preserve">standardem EPEAT </w:t>
            </w:r>
          </w:p>
        </w:tc>
      </w:tr>
    </w:tbl>
    <w:p w:rsidR="00A42E6E" w:rsidRDefault="00A42E6E" w:rsidP="00A42E6E">
      <w:pPr>
        <w:ind w:left="360"/>
        <w:rPr>
          <w:rFonts w:ascii="Arial" w:hAnsi="Arial" w:cs="Arial"/>
          <w:b/>
          <w:sz w:val="32"/>
          <w:szCs w:val="32"/>
        </w:rPr>
      </w:pPr>
    </w:p>
    <w:p w:rsidR="00A42E6E" w:rsidRPr="00CD69C4" w:rsidRDefault="00CD69C4" w:rsidP="00CD69C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Warunki gwarancji zostały szczegółowo opisane we wzorze umowy.</w:t>
      </w:r>
      <w:bookmarkStart w:id="0" w:name="_GoBack"/>
      <w:bookmarkEnd w:id="0"/>
      <w:r w:rsidR="00A42E6E" w:rsidRPr="00CD69C4">
        <w:rPr>
          <w:rFonts w:ascii="Arial" w:hAnsi="Arial" w:cs="Arial"/>
        </w:rPr>
        <w:t xml:space="preserve"> </w:t>
      </w:r>
    </w:p>
    <w:p w:rsidR="00A42E6E" w:rsidRPr="00EB4409" w:rsidRDefault="00A42E6E" w:rsidP="00A42E6E">
      <w:pPr>
        <w:ind w:left="348"/>
        <w:jc w:val="both"/>
        <w:rPr>
          <w:rFonts w:ascii="Arial" w:hAnsi="Arial" w:cs="Arial"/>
        </w:rPr>
      </w:pPr>
      <w:r w:rsidRPr="00EB4409">
        <w:rPr>
          <w:rFonts w:ascii="Arial" w:hAnsi="Arial" w:cs="Arial"/>
        </w:rPr>
        <w:t xml:space="preserve"> </w:t>
      </w:r>
    </w:p>
    <w:p w:rsidR="00A42E6E" w:rsidRPr="00E4614D" w:rsidRDefault="00A42E6E" w:rsidP="00E4614D">
      <w:pPr>
        <w:rPr>
          <w:rFonts w:ascii="Arial" w:hAnsi="Arial" w:cs="Arial"/>
        </w:rPr>
      </w:pPr>
    </w:p>
    <w:p w:rsidR="00E4614D" w:rsidRDefault="00E4614D" w:rsidP="00A42E6E">
      <w:pPr>
        <w:ind w:left="426"/>
        <w:jc w:val="both"/>
        <w:rPr>
          <w:rFonts w:ascii="Arial" w:eastAsia="Batang" w:hAnsi="Arial" w:cs="Arial"/>
          <w:i/>
        </w:rPr>
      </w:pPr>
    </w:p>
    <w:p w:rsidR="00E4614D" w:rsidRPr="00633A30" w:rsidRDefault="00E4614D" w:rsidP="00A42E6E">
      <w:pPr>
        <w:ind w:left="426"/>
        <w:jc w:val="both"/>
        <w:rPr>
          <w:rFonts w:ascii="Arial" w:eastAsia="Batang" w:hAnsi="Arial" w:cs="Arial"/>
          <w:i/>
        </w:rPr>
      </w:pPr>
    </w:p>
    <w:p w:rsidR="00E4614D" w:rsidRDefault="00E4614D" w:rsidP="00E4614D">
      <w:pPr>
        <w:ind w:left="1416"/>
        <w:jc w:val="both"/>
        <w:rPr>
          <w:rFonts w:ascii="Tahoma" w:hAnsi="Tahoma" w:cs="Tahoma"/>
          <w:b/>
        </w:rPr>
      </w:pPr>
      <w:r w:rsidRPr="00EB1793">
        <w:rPr>
          <w:rFonts w:ascii="Tahoma" w:hAnsi="Tahoma" w:cs="Tahoma"/>
          <w:b/>
        </w:rPr>
        <w:t>Imię i nazwisko upełnomocnionego przedstawiciela Wykonawcy:</w:t>
      </w:r>
    </w:p>
    <w:p w:rsidR="00E4614D" w:rsidRDefault="00E4614D" w:rsidP="00E4614D">
      <w:pPr>
        <w:ind w:left="1416"/>
        <w:jc w:val="both"/>
        <w:rPr>
          <w:rFonts w:ascii="Tahoma" w:hAnsi="Tahoma" w:cs="Tahoma"/>
          <w:b/>
        </w:rPr>
      </w:pPr>
    </w:p>
    <w:p w:rsidR="00E4614D" w:rsidRPr="00EB1793" w:rsidRDefault="00E4614D" w:rsidP="00E4614D">
      <w:pPr>
        <w:ind w:left="1416"/>
        <w:jc w:val="both"/>
        <w:rPr>
          <w:rFonts w:ascii="Tahoma" w:hAnsi="Tahoma" w:cs="Tahoma"/>
          <w:b/>
        </w:rPr>
      </w:pPr>
    </w:p>
    <w:p w:rsidR="00E4614D" w:rsidRPr="00EB1793" w:rsidRDefault="00E4614D" w:rsidP="00E4614D">
      <w:pPr>
        <w:ind w:left="1416" w:firstLine="708"/>
        <w:jc w:val="both"/>
        <w:rPr>
          <w:rFonts w:ascii="Tahoma" w:hAnsi="Tahoma" w:cs="Tahoma"/>
          <w:b/>
        </w:rPr>
      </w:pPr>
      <w:r w:rsidRPr="00EB1793">
        <w:rPr>
          <w:rFonts w:ascii="Tahoma" w:hAnsi="Tahoma" w:cs="Tahoma"/>
          <w:b/>
        </w:rPr>
        <w:t>……............................................... , ..........................................</w:t>
      </w:r>
    </w:p>
    <w:p w:rsidR="00E4614D" w:rsidRPr="00EB1793" w:rsidRDefault="00E4614D" w:rsidP="00E4614D">
      <w:pPr>
        <w:spacing w:line="240" w:lineRule="atLeast"/>
        <w:rPr>
          <w:rFonts w:ascii="Tahoma" w:hAnsi="Tahoma" w:cs="Tahoma"/>
          <w:b/>
        </w:rPr>
      </w:pPr>
      <w:r w:rsidRPr="00EB1793">
        <w:rPr>
          <w:rFonts w:ascii="Tahoma" w:hAnsi="Tahoma" w:cs="Tahoma"/>
          <w:b/>
        </w:rPr>
        <w:t>Data .....................</w:t>
      </w:r>
    </w:p>
    <w:p w:rsidR="00E4614D" w:rsidRDefault="00E4614D" w:rsidP="00E4614D">
      <w:pPr>
        <w:spacing w:line="240" w:lineRule="atLeast"/>
        <w:rPr>
          <w:rFonts w:ascii="Tahoma" w:hAnsi="Tahoma" w:cs="Tahoma"/>
          <w:b/>
        </w:rPr>
      </w:pPr>
    </w:p>
    <w:p w:rsidR="00E4614D" w:rsidRPr="00EB1793" w:rsidRDefault="00E4614D" w:rsidP="00E4614D">
      <w:pPr>
        <w:spacing w:line="240" w:lineRule="atLeast"/>
        <w:rPr>
          <w:rFonts w:ascii="Tahoma" w:hAnsi="Tahoma" w:cs="Tahoma"/>
          <w:b/>
        </w:rPr>
      </w:pPr>
    </w:p>
    <w:p w:rsidR="00431829" w:rsidRDefault="00E4614D" w:rsidP="00E4614D">
      <w:pPr>
        <w:spacing w:line="240" w:lineRule="atLeast"/>
      </w:pPr>
      <w:r w:rsidRPr="00EB1793">
        <w:rPr>
          <w:rFonts w:ascii="Tahoma" w:hAnsi="Tahoma" w:cs="Tahoma"/>
          <w:b/>
        </w:rPr>
        <w:t xml:space="preserve">                    podpis  ...................................................... , ..........................................</w:t>
      </w:r>
    </w:p>
    <w:sectPr w:rsidR="004318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058" w:rsidRDefault="00821058" w:rsidP="00E4614D">
      <w:r>
        <w:separator/>
      </w:r>
    </w:p>
  </w:endnote>
  <w:endnote w:type="continuationSeparator" w:id="0">
    <w:p w:rsidR="00821058" w:rsidRDefault="00821058" w:rsidP="00E46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058" w:rsidRDefault="00821058" w:rsidP="00E4614D">
      <w:r>
        <w:separator/>
      </w:r>
    </w:p>
  </w:footnote>
  <w:footnote w:type="continuationSeparator" w:id="0">
    <w:p w:rsidR="00821058" w:rsidRDefault="00821058" w:rsidP="00E46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058" w:rsidRPr="001653CA" w:rsidRDefault="00821058" w:rsidP="00E4614D">
    <w:pPr>
      <w:pStyle w:val="Nagwek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</w:rPr>
      <w:t>Nr zamówienia: 12/</w:t>
    </w:r>
    <w:proofErr w:type="spellStart"/>
    <w:r>
      <w:rPr>
        <w:rFonts w:asciiTheme="minorHAnsi" w:hAnsiTheme="minorHAnsi" w:cstheme="minorHAnsi"/>
      </w:rPr>
      <w:t>pn</w:t>
    </w:r>
    <w:proofErr w:type="spellEnd"/>
    <w:r>
      <w:rPr>
        <w:rFonts w:asciiTheme="minorHAnsi" w:hAnsiTheme="minorHAnsi" w:cstheme="minorHAnsi"/>
      </w:rPr>
      <w:t>/2020</w:t>
    </w:r>
    <w:r w:rsidRPr="00377030">
      <w:rPr>
        <w:rFonts w:asciiTheme="minorHAnsi" w:hAnsiTheme="minorHAnsi" w:cstheme="minorHAnsi"/>
      </w:rPr>
      <w:t xml:space="preserve">                              </w:t>
    </w:r>
    <w:r>
      <w:rPr>
        <w:rFonts w:asciiTheme="minorHAnsi" w:hAnsiTheme="minorHAnsi" w:cstheme="minorHAnsi"/>
      </w:rPr>
      <w:t xml:space="preserve">   </w:t>
    </w:r>
    <w:r w:rsidR="008A5065">
      <w:rPr>
        <w:rFonts w:asciiTheme="minorHAnsi" w:hAnsiTheme="minorHAnsi" w:cstheme="minorHAnsi"/>
      </w:rPr>
      <w:t xml:space="preserve">                         </w:t>
    </w:r>
    <w:r w:rsidRPr="001653CA">
      <w:rPr>
        <w:rFonts w:asciiTheme="minorHAnsi" w:hAnsiTheme="minorHAnsi" w:cstheme="minorHAnsi"/>
        <w:b/>
      </w:rPr>
      <w:t>formularz opis przedmiotu zamówienia</w:t>
    </w:r>
    <w:r w:rsidR="008A5065">
      <w:rPr>
        <w:rFonts w:asciiTheme="minorHAnsi" w:hAnsiTheme="minorHAnsi" w:cstheme="minorHAnsi"/>
        <w:b/>
      </w:rPr>
      <w:t xml:space="preserve"> – pakiet II</w:t>
    </w:r>
    <w:r w:rsidRPr="001653CA">
      <w:rPr>
        <w:rFonts w:asciiTheme="minorHAnsi" w:hAnsiTheme="minorHAnsi" w:cstheme="minorHAnsi"/>
        <w:b/>
      </w:rPr>
      <w:t xml:space="preserve"> </w:t>
    </w:r>
  </w:p>
  <w:p w:rsidR="00821058" w:rsidRDefault="008210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A4448"/>
    <w:multiLevelType w:val="hybridMultilevel"/>
    <w:tmpl w:val="6F8E232C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272B4"/>
    <w:multiLevelType w:val="hybridMultilevel"/>
    <w:tmpl w:val="47B8D6C4"/>
    <w:lvl w:ilvl="0" w:tplc="1FB492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687FFB"/>
    <w:multiLevelType w:val="hybridMultilevel"/>
    <w:tmpl w:val="B0DC9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2706C"/>
    <w:multiLevelType w:val="hybridMultilevel"/>
    <w:tmpl w:val="59B86956"/>
    <w:lvl w:ilvl="0" w:tplc="50F664B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BE56BA"/>
    <w:multiLevelType w:val="hybridMultilevel"/>
    <w:tmpl w:val="A7E470EA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82924"/>
    <w:multiLevelType w:val="hybridMultilevel"/>
    <w:tmpl w:val="00AE91BE"/>
    <w:lvl w:ilvl="0" w:tplc="1FB492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870BD3"/>
    <w:multiLevelType w:val="hybridMultilevel"/>
    <w:tmpl w:val="9C1EC3BE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D0F85"/>
    <w:multiLevelType w:val="hybridMultilevel"/>
    <w:tmpl w:val="AC3038DA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666EC"/>
    <w:multiLevelType w:val="hybridMultilevel"/>
    <w:tmpl w:val="80F24CB6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4D3ECD"/>
    <w:multiLevelType w:val="hybridMultilevel"/>
    <w:tmpl w:val="24A665D8"/>
    <w:lvl w:ilvl="0" w:tplc="1FB4925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C03D13"/>
    <w:multiLevelType w:val="hybridMultilevel"/>
    <w:tmpl w:val="8D7A2CA2"/>
    <w:lvl w:ilvl="0" w:tplc="1FB4925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919608C"/>
    <w:multiLevelType w:val="hybridMultilevel"/>
    <w:tmpl w:val="6E7AA51C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74E0E"/>
    <w:multiLevelType w:val="hybridMultilevel"/>
    <w:tmpl w:val="8B7CA98E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7561C"/>
    <w:multiLevelType w:val="hybridMultilevel"/>
    <w:tmpl w:val="C684369C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DE8A16C">
      <w:numFmt w:val="bullet"/>
      <w:lvlText w:val=""/>
      <w:lvlJc w:val="left"/>
      <w:pPr>
        <w:ind w:left="1440" w:hanging="360"/>
      </w:pPr>
      <w:rPr>
        <w:rFonts w:ascii="Calibri" w:eastAsia="Calibri" w:hAnsi="Calibri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E5936"/>
    <w:multiLevelType w:val="hybridMultilevel"/>
    <w:tmpl w:val="7806F9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0343B"/>
    <w:multiLevelType w:val="hybridMultilevel"/>
    <w:tmpl w:val="E0EAFD78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7D174B"/>
    <w:multiLevelType w:val="hybridMultilevel"/>
    <w:tmpl w:val="ACA84F40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572C4"/>
    <w:multiLevelType w:val="hybridMultilevel"/>
    <w:tmpl w:val="1EE80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DD3253"/>
    <w:multiLevelType w:val="hybridMultilevel"/>
    <w:tmpl w:val="B790BAB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5526C"/>
    <w:multiLevelType w:val="hybridMultilevel"/>
    <w:tmpl w:val="603EB900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520111"/>
    <w:multiLevelType w:val="hybridMultilevel"/>
    <w:tmpl w:val="52FCE3B6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C3336"/>
    <w:multiLevelType w:val="hybridMultilevel"/>
    <w:tmpl w:val="DC568AAA"/>
    <w:lvl w:ilvl="0" w:tplc="C8A64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EC1E4B"/>
    <w:multiLevelType w:val="hybridMultilevel"/>
    <w:tmpl w:val="8AA8C0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030733"/>
    <w:multiLevelType w:val="hybridMultilevel"/>
    <w:tmpl w:val="8AA8C0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E30AC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6EE04B2D"/>
    <w:multiLevelType w:val="hybridMultilevel"/>
    <w:tmpl w:val="A470ED32"/>
    <w:lvl w:ilvl="0" w:tplc="1FB492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F2C47BE"/>
    <w:multiLevelType w:val="hybridMultilevel"/>
    <w:tmpl w:val="13BC6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D14633"/>
    <w:multiLevelType w:val="hybridMultilevel"/>
    <w:tmpl w:val="90F6C988"/>
    <w:lvl w:ilvl="0" w:tplc="DC066D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ED16FF"/>
    <w:multiLevelType w:val="hybridMultilevel"/>
    <w:tmpl w:val="E18674D0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80155"/>
    <w:multiLevelType w:val="hybridMultilevel"/>
    <w:tmpl w:val="8AC2A954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E3ED4"/>
    <w:multiLevelType w:val="hybridMultilevel"/>
    <w:tmpl w:val="17B84124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28"/>
  </w:num>
  <w:num w:numId="4">
    <w:abstractNumId w:val="20"/>
  </w:num>
  <w:num w:numId="5">
    <w:abstractNumId w:val="5"/>
  </w:num>
  <w:num w:numId="6">
    <w:abstractNumId w:val="0"/>
  </w:num>
  <w:num w:numId="7">
    <w:abstractNumId w:val="13"/>
  </w:num>
  <w:num w:numId="8">
    <w:abstractNumId w:val="29"/>
  </w:num>
  <w:num w:numId="9">
    <w:abstractNumId w:val="27"/>
  </w:num>
  <w:num w:numId="10">
    <w:abstractNumId w:val="15"/>
  </w:num>
  <w:num w:numId="11">
    <w:abstractNumId w:val="23"/>
  </w:num>
  <w:num w:numId="12">
    <w:abstractNumId w:val="4"/>
  </w:num>
  <w:num w:numId="13">
    <w:abstractNumId w:val="30"/>
  </w:num>
  <w:num w:numId="14">
    <w:abstractNumId w:val="25"/>
  </w:num>
  <w:num w:numId="15">
    <w:abstractNumId w:val="8"/>
  </w:num>
  <w:num w:numId="16">
    <w:abstractNumId w:val="22"/>
  </w:num>
  <w:num w:numId="17">
    <w:abstractNumId w:val="16"/>
  </w:num>
  <w:num w:numId="18">
    <w:abstractNumId w:val="1"/>
  </w:num>
  <w:num w:numId="19">
    <w:abstractNumId w:val="19"/>
  </w:num>
  <w:num w:numId="20">
    <w:abstractNumId w:val="17"/>
  </w:num>
  <w:num w:numId="21">
    <w:abstractNumId w:val="10"/>
  </w:num>
  <w:num w:numId="22">
    <w:abstractNumId w:val="11"/>
  </w:num>
  <w:num w:numId="23">
    <w:abstractNumId w:val="6"/>
  </w:num>
  <w:num w:numId="24">
    <w:abstractNumId w:val="14"/>
  </w:num>
  <w:num w:numId="25">
    <w:abstractNumId w:val="9"/>
  </w:num>
  <w:num w:numId="26">
    <w:abstractNumId w:val="24"/>
  </w:num>
  <w:num w:numId="27">
    <w:abstractNumId w:val="2"/>
  </w:num>
  <w:num w:numId="28">
    <w:abstractNumId w:val="18"/>
  </w:num>
  <w:num w:numId="29">
    <w:abstractNumId w:val="3"/>
  </w:num>
  <w:num w:numId="30">
    <w:abstractNumId w:val="21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E6E"/>
    <w:rsid w:val="000176EF"/>
    <w:rsid w:val="00133E63"/>
    <w:rsid w:val="001712D5"/>
    <w:rsid w:val="001839EB"/>
    <w:rsid w:val="00377544"/>
    <w:rsid w:val="00431829"/>
    <w:rsid w:val="00685E41"/>
    <w:rsid w:val="00821058"/>
    <w:rsid w:val="008A5065"/>
    <w:rsid w:val="00A30AA5"/>
    <w:rsid w:val="00A42E6E"/>
    <w:rsid w:val="00A9554E"/>
    <w:rsid w:val="00AA5E28"/>
    <w:rsid w:val="00CD69C4"/>
    <w:rsid w:val="00DF740D"/>
    <w:rsid w:val="00E24E25"/>
    <w:rsid w:val="00E4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CCCFC"/>
  <w15:chartTrackingRefBased/>
  <w15:docId w15:val="{451D4B7F-17F1-4BB0-83F0-98968248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E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614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2E6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A42E6E"/>
    <w:rPr>
      <w:rFonts w:ascii="Cambria" w:eastAsia="Times New Roman" w:hAnsi="Cambria" w:cs="Times New Roman"/>
      <w:b/>
      <w:bCs/>
      <w:color w:val="4F81BD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2E6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owywlewo">
    <w:name w:val="Standardowy w lewo"/>
    <w:basedOn w:val="Normalny"/>
    <w:rsid w:val="00A42E6E"/>
    <w:pPr>
      <w:widowControl/>
      <w:autoSpaceDE/>
      <w:autoSpaceDN/>
      <w:adjustRightInd/>
      <w:jc w:val="both"/>
    </w:pPr>
    <w:rPr>
      <w:rFonts w:ascii="Arial Narrow" w:hAnsi="Arial Narrow"/>
      <w:sz w:val="22"/>
    </w:rPr>
  </w:style>
  <w:style w:type="character" w:customStyle="1" w:styleId="AkapitzlistZnak">
    <w:name w:val="Akapit z listą Znak"/>
    <w:link w:val="Akapitzlist"/>
    <w:uiPriority w:val="34"/>
    <w:rsid w:val="00A42E6E"/>
    <w:rPr>
      <w:rFonts w:ascii="Calibri" w:eastAsia="Calibri" w:hAnsi="Calibri" w:cs="Times New Roman"/>
    </w:rPr>
  </w:style>
  <w:style w:type="paragraph" w:styleId="Bezodstpw">
    <w:name w:val="No Spacing"/>
    <w:uiPriority w:val="99"/>
    <w:qFormat/>
    <w:rsid w:val="00A42E6E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461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61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61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61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4614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E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E2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2179</TotalTime>
  <Pages>7</Pages>
  <Words>1658</Words>
  <Characters>9949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 Katowice</Company>
  <LinksUpToDate>false</LinksUpToDate>
  <CharactersWithSpaces>11584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Judyta</dc:creator>
  <cp:keywords/>
  <dc:description/>
  <cp:lastModifiedBy>Chochół Katarzyna</cp:lastModifiedBy>
  <cp:revision>12</cp:revision>
  <cp:lastPrinted>2020-09-21T12:04:00Z</cp:lastPrinted>
  <dcterms:created xsi:type="dcterms:W3CDTF">2020-07-16T12:27:00Z</dcterms:created>
  <dcterms:modified xsi:type="dcterms:W3CDTF">2020-09-21T12:06:00Z</dcterms:modified>
</cp:coreProperties>
</file>